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8E3725"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BF6E69" w:rsidP="00A6697D">
      <w:pPr>
        <w:jc w:val="both"/>
        <w:rPr>
          <w:rFonts w:cstheme="minorHAnsi"/>
          <w:b/>
          <w:u w:val="single"/>
        </w:rPr>
      </w:pPr>
      <w:r>
        <w:rPr>
          <w:rFonts w:cstheme="minorHAnsi"/>
          <w:b/>
          <w:u w:val="single"/>
        </w:rPr>
        <w:t>Pricing</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724C4B" w:rsidP="00A6697D">
      <w:pPr>
        <w:jc w:val="both"/>
        <w:rPr>
          <w:rFonts w:cstheme="minorHAnsi"/>
          <w:color w:val="000000" w:themeColor="text1"/>
          <w:lang w:val="en-US"/>
        </w:rPr>
      </w:pPr>
      <w:r w:rsidRPr="00A6697D">
        <w:rPr>
          <w:rFonts w:cstheme="minorHAnsi"/>
          <w:color w:val="000000" w:themeColor="text1"/>
          <w:lang w:val="en-US"/>
        </w:rPr>
        <w:t xml:space="preserve">Our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E64776" w:rsidRPr="00A6697D" w:rsidRDefault="00E64776" w:rsidP="00E64776">
      <w:pPr>
        <w:jc w:val="both"/>
        <w:rPr>
          <w:rFonts w:cstheme="minorHAnsi"/>
          <w:b/>
        </w:rPr>
      </w:pPr>
      <w:r w:rsidRPr="00A6697D">
        <w:rPr>
          <w:rFonts w:cstheme="minorHAnsi"/>
          <w:color w:val="000000" w:themeColor="text1"/>
          <w:lang w:val="en-US"/>
        </w:rPr>
        <w:lastRenderedPageBreak/>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BF6E69" w:rsidRDefault="00BF6E69" w:rsidP="00A6697D">
      <w:pPr>
        <w:jc w:val="both"/>
        <w:rPr>
          <w:rFonts w:cstheme="minorHAnsi"/>
        </w:rPr>
      </w:pPr>
    </w:p>
    <w:p w:rsidR="00BF6E69" w:rsidRDefault="00BF6E69" w:rsidP="00BF6E69">
      <w:pPr>
        <w:jc w:val="both"/>
        <w:rPr>
          <w:rFonts w:cstheme="minorHAnsi"/>
          <w:b/>
          <w:u w:val="single"/>
        </w:rPr>
      </w:pPr>
      <w:r>
        <w:rPr>
          <w:rFonts w:cstheme="minorHAnsi"/>
          <w:b/>
          <w:u w:val="single"/>
        </w:rPr>
        <w:t xml:space="preserve">Pricing for Michael Sherry </w:t>
      </w:r>
    </w:p>
    <w:p w:rsidR="00BF6E69" w:rsidRDefault="00BF6E69" w:rsidP="00BF6E69">
      <w:pPr>
        <w:jc w:val="both"/>
        <w:rPr>
          <w:rFonts w:cstheme="minorHAnsi"/>
          <w:b/>
        </w:rPr>
      </w:pPr>
    </w:p>
    <w:p w:rsidR="00BF6E69" w:rsidRDefault="00BF6E69" w:rsidP="00BF6E69">
      <w:pPr>
        <w:jc w:val="both"/>
        <w:rPr>
          <w:rFonts w:cstheme="minorHAnsi"/>
          <w:b/>
        </w:rPr>
      </w:pPr>
      <w:r>
        <w:rPr>
          <w:rFonts w:cstheme="minorHAnsi"/>
        </w:rPr>
        <w:t>Hourly rate of £1000 plus vat case dependant.</w:t>
      </w:r>
    </w:p>
    <w:p w:rsidR="00BF6E69" w:rsidRPr="00A6697D" w:rsidRDefault="00BF6E69" w:rsidP="00A6697D">
      <w:pPr>
        <w:jc w:val="both"/>
        <w:rPr>
          <w:rFonts w:cstheme="minorHAnsi"/>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If you do not have internet access please contact us and we will be happy to provide you with a hard copy of this guidance and take you through any necessary steps.  Guidance on direct access work can </w:t>
      </w:r>
      <w:r w:rsidRPr="00A6697D">
        <w:rPr>
          <w:rFonts w:cstheme="minorHAnsi"/>
          <w:color w:val="000000" w:themeColor="text1"/>
          <w:lang w:val="en-US"/>
        </w:rPr>
        <w:lastRenderedPageBreak/>
        <w:t>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C" w:rsidRDefault="006A7E5C" w:rsidP="000E69A8">
      <w:pPr>
        <w:spacing w:after="0" w:line="240" w:lineRule="auto"/>
      </w:pPr>
      <w:r>
        <w:separator/>
      </w:r>
    </w:p>
  </w:endnote>
  <w:endnote w:type="continuationSeparator" w:id="0">
    <w:p w:rsidR="006A7E5C" w:rsidRDefault="006A7E5C"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0E69A8" w:rsidRDefault="000E69A8" w:rsidP="00724C4B">
    <w:pPr>
      <w:pStyle w:val="Footer"/>
      <w:jc w:val="right"/>
    </w:pPr>
    <w:r>
      <w:tab/>
    </w:r>
    <w:r w:rsidR="005D3441">
      <w:t>Version 2 - November</w:t>
    </w:r>
    <w:r w:rsidR="00724C4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C" w:rsidRDefault="006A7E5C" w:rsidP="000E69A8">
      <w:pPr>
        <w:spacing w:after="0" w:line="240" w:lineRule="auto"/>
      </w:pPr>
      <w:r>
        <w:separator/>
      </w:r>
    </w:p>
  </w:footnote>
  <w:footnote w:type="continuationSeparator" w:id="0">
    <w:p w:rsidR="006A7E5C" w:rsidRDefault="006A7E5C"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2gqmoo6h9yP6JXMlL8DrgoKZmP9r5+4kZINU1yEyPvAz/oA6LPoeBkgzXEsh0ST9FNDgyQcxKmBoNhsS1GScdQ==" w:salt="IebFajeiqOBl1llQ7lxC2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E1D65"/>
    <w:rsid w:val="000E69A8"/>
    <w:rsid w:val="00151FB6"/>
    <w:rsid w:val="002E4AA6"/>
    <w:rsid w:val="003900E7"/>
    <w:rsid w:val="00417736"/>
    <w:rsid w:val="004672DF"/>
    <w:rsid w:val="005053B6"/>
    <w:rsid w:val="005165E9"/>
    <w:rsid w:val="00575960"/>
    <w:rsid w:val="005C3446"/>
    <w:rsid w:val="005D3441"/>
    <w:rsid w:val="006A7E5C"/>
    <w:rsid w:val="00724C4B"/>
    <w:rsid w:val="00791352"/>
    <w:rsid w:val="008E3725"/>
    <w:rsid w:val="009276A7"/>
    <w:rsid w:val="00A6697D"/>
    <w:rsid w:val="00AA79A4"/>
    <w:rsid w:val="00B17F3F"/>
    <w:rsid w:val="00B64614"/>
    <w:rsid w:val="00BF6E69"/>
    <w:rsid w:val="00C478C6"/>
    <w:rsid w:val="00CA7CBD"/>
    <w:rsid w:val="00CB29BA"/>
    <w:rsid w:val="00D005E5"/>
    <w:rsid w:val="00D52D47"/>
    <w:rsid w:val="00E15E85"/>
    <w:rsid w:val="00E5397F"/>
    <w:rsid w:val="00E64776"/>
    <w:rsid w:val="00F26F9F"/>
    <w:rsid w:val="00F56DD9"/>
    <w:rsid w:val="00F90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 w:id="20214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3803</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2021-11-17T10:53:00Z</dcterms:created>
  <dcterms:modified xsi:type="dcterms:W3CDTF">2021-11-17T10:53:00Z</dcterms:modified>
</cp:coreProperties>
</file>